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661E5B88" w:rsidR="002029D2" w:rsidRDefault="002029D2" w:rsidP="00B3633C">
      <w:pPr>
        <w:pStyle w:val="Title"/>
        <w:spacing w:before="0" w:line="240" w:lineRule="auto"/>
      </w:pPr>
      <w:bookmarkStart w:id="0" w:name="materials-and-methods"/>
      <w:r>
        <w:t>Supp</w:t>
      </w:r>
      <w:r w:rsidR="00DA2DB4">
        <w:t>orting</w:t>
      </w:r>
      <w:r>
        <w:t xml:space="preserve">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Verboom</w:t>
      </w:r>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“taxize”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61BC6DB1" w:rsidR="009B7831" w:rsidRDefault="009017E2" w:rsidP="0039515E">
      <w:pPr>
        <w:pStyle w:val="BodyText"/>
        <w:spacing w:before="0"/>
      </w:pPr>
      <w:r>
        <w:t>In order to ensure that no species w</w:t>
      </w:r>
      <w:r w:rsidR="00D90939">
        <w:t>ere</w:t>
      </w:r>
      <w:r>
        <w:t xml:space="preserve"> listed under multiple synonyms, the retained names were then queried against the Tropicos and Integrated Taxonomic Information System (ITIS; </w:t>
      </w:r>
      <w:r w:rsidRPr="008533D7">
        <w:rPr>
          <w:highlight w:val="yellow"/>
        </w:rPr>
        <w:t>ref?</w:t>
      </w:r>
      <w:r>
        <w:t>)</w:t>
      </w:r>
      <w:r w:rsidRPr="007C7D4C">
        <w:t xml:space="preserve"> </w:t>
      </w:r>
      <w:r>
        <w:t>for known synonyms, again using “taxize.”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EF5E9B">
        <w:rPr>
          <w:b/>
        </w:rPr>
        <w:t>1</w:t>
      </w:r>
      <w:r w:rsidRPr="00242181">
        <w:rPr>
          <w:b/>
        </w:rPr>
        <w:t>:</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r w:rsidRPr="00537B9C">
              <w:rPr>
                <w:sz w:val="22"/>
              </w:rPr>
              <w:t>Hengl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w:t>
      </w:r>
      <w:r w:rsidRPr="00930595">
        <w:rPr>
          <w:rFonts w:hAnsi="Times New Roman" w:cs="Times New Roman"/>
          <w:b/>
        </w:rPr>
        <w:t>2</w:t>
      </w:r>
      <w:r w:rsidRPr="005E331E">
        <w:rPr>
          <w:rFonts w:hAnsi="Times New Roman" w:cs="Times New Roman"/>
          <w:b/>
        </w:rPr>
        <w:t>:</w:t>
      </w:r>
      <w:r w:rsidR="005E331E" w:rsidRPr="005E331E">
        <w:rPr>
          <w:rFonts w:hAnsi="Times New Roman" w:cs="Times New Roman"/>
        </w:rPr>
        <w:t xml:space="preserve"> </w:t>
      </w:r>
      <w:r w:rsidR="00D46CCB" w:rsidRPr="00463C4F">
        <w:rPr>
          <w:rFonts w:hAnsi="Times New Roman" w:cs="Times New Roman"/>
          <w:highlight w:val="yellow"/>
        </w:rPr>
        <w:t>ANOVA</w:t>
      </w:r>
      <w:r w:rsidR="007721A7" w:rsidRPr="00463C4F">
        <w:rPr>
          <w:rFonts w:hAnsi="Times New Roman" w:cs="Times New Roman"/>
          <w:highlight w:val="yellow"/>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w:t>
      </w:r>
      <w:r w:rsidR="007E6AFA" w:rsidRPr="002723BD">
        <w:rPr>
          <w:rFonts w:hAnsi="Times New Roman" w:cs="Times New Roman"/>
        </w:rPr>
        <w:t>1</w:t>
      </w:r>
      <w:r w:rsidR="007E6AFA">
        <w:rPr>
          <w:rFonts w:hAnsi="Times New Roman" w:cs="Times New Roman"/>
        </w:rPr>
        <w:t>.</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884E49E" w:rsidR="00E872A4" w:rsidRPr="00DC6E66" w:rsidRDefault="00E04E6C" w:rsidP="00746253">
      <w:pPr>
        <w:pStyle w:val="BodyText"/>
        <w:spacing w:before="0" w:after="0"/>
      </w:pPr>
      <w:r w:rsidRPr="00480550">
        <w:rPr>
          <w:b/>
          <w:bCs/>
        </w:rPr>
        <w:lastRenderedPageBreak/>
        <w:t>Table S</w:t>
      </w:r>
      <w:r w:rsidR="0001122D">
        <w:rPr>
          <w:b/>
          <w:bCs/>
        </w:rPr>
        <w:t>3</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D47A722" w14:textId="18C93CE5" w:rsidR="00AF3EA1" w:rsidRDefault="00AF3EA1" w:rsidP="00E169D5">
      <w:pPr>
        <w:pStyle w:val="BodyText"/>
        <w:spacing w:before="0" w:after="0"/>
      </w:pPr>
      <w:r w:rsidRPr="00074FCE">
        <w:rPr>
          <w:b/>
        </w:rPr>
        <w:t>Figure S</w:t>
      </w:r>
      <w:r w:rsidR="00385630" w:rsidRPr="00074FCE">
        <w:rPr>
          <w:b/>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across the GCFR and SWAFR</w:t>
      </w:r>
      <w:r w:rsidR="009518C9">
        <w:t>, demonstrating the broad independence of these variables across the study regions</w:t>
      </w:r>
      <w:r w:rsidR="00682557">
        <w:t xml:space="preserve">. </w:t>
      </w:r>
      <w:r w:rsidR="00682557">
        <w:rPr>
          <w:rFonts w:hAnsi="Times New Roman" w:cs="Times New Roman"/>
        </w:rPr>
        <w:t>Abbreviations follow that in Tables S</w:t>
      </w:r>
      <w:r w:rsidR="00682557" w:rsidRPr="0073022F">
        <w:rPr>
          <w:rFonts w:hAnsi="Times New Roman" w:cs="Times New Roman"/>
        </w:rPr>
        <w:t>1</w:t>
      </w:r>
      <w:r w:rsidR="000B25D7">
        <w:rPr>
          <w:rFonts w:hAnsi="Times New Roman" w:cs="Times New Roman"/>
        </w:rPr>
        <w:t>–</w:t>
      </w:r>
      <w:r w:rsidR="00682557">
        <w:rPr>
          <w:rFonts w:hAnsi="Times New Roman" w:cs="Times New Roman"/>
        </w:rPr>
        <w:t>S</w:t>
      </w:r>
      <w:r w:rsidR="00682557" w:rsidRPr="005D28B7">
        <w:rPr>
          <w:rFonts w:hAnsi="Times New Roman" w:cs="Times New Roman"/>
        </w:rPr>
        <w:t>3</w:t>
      </w:r>
      <w:r w:rsidR="00682557">
        <w:rPr>
          <w:rFonts w:hAnsi="Times New Roman" w:cs="Times New Roman"/>
        </w:rPr>
        <w:t>.</w:t>
      </w:r>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17B22A1F" w:rsidR="00AF3EA1" w:rsidRDefault="00AF3EA1" w:rsidP="00323C08">
      <w:r w:rsidRPr="007C6590">
        <w:rPr>
          <w:b/>
        </w:rPr>
        <w:t>Figure S</w:t>
      </w:r>
      <w:r w:rsidR="00385630" w:rsidRPr="007C6590">
        <w:rPr>
          <w:b/>
        </w:rPr>
        <w:t>2</w:t>
      </w:r>
      <w:r w:rsidRPr="007C6590">
        <w:rPr>
          <w:b/>
        </w:rPr>
        <w:t>:</w:t>
      </w:r>
      <w:r w:rsidRPr="007C6590">
        <w:t xml:space="preserve"> </w:t>
      </w:r>
      <w:r w:rsidR="00EA6516" w:rsidRPr="007C6590">
        <w:t>Pairwise correlation coefficients (upper-right panels), scatter plots (lower-left panels) and distributions (diagonal panels) of different forms of (log</w:t>
      </w:r>
      <w:r w:rsidR="00EA6516" w:rsidRPr="007C6590">
        <w:rPr>
          <w:vertAlign w:val="subscript"/>
        </w:rPr>
        <w:t>10</w:t>
      </w:r>
      <w:r w:rsidR="00EA6516" w:rsidRPr="007C6590">
        <w:t>-transformed) environmental heterogeneity (HDS-scale) across the GCFR and SWAFR</w:t>
      </w:r>
      <w:r w:rsidR="009518C9" w:rsidRPr="007C6590">
        <w:t>, demonstrating the broad independence of these variables across the study regions</w:t>
      </w:r>
      <w:r w:rsidR="00EA6516" w:rsidRPr="007C6590">
        <w:t xml:space="preserve">. </w:t>
      </w:r>
      <w:r w:rsidR="00EA6516" w:rsidRPr="007C6590">
        <w:rPr>
          <w:rFonts w:hAnsi="Times New Roman" w:cs="Times New Roman"/>
        </w:rPr>
        <w:t>Abbreviations follow that in Tables S1</w:t>
      </w:r>
      <w:r w:rsidR="007C05BD" w:rsidRPr="007C6590">
        <w:rPr>
          <w:rFonts w:hAnsi="Times New Roman" w:cs="Times New Roman"/>
        </w:rPr>
        <w:t>–</w:t>
      </w:r>
      <w:r w:rsidR="00EA6516" w:rsidRPr="007C6590">
        <w:rPr>
          <w:rFonts w:hAnsi="Times New Roman" w:cs="Times New Roman"/>
        </w:rPr>
        <w:t xml:space="preserve"> S3</w:t>
      </w:r>
      <w:r w:rsidR="0024075E" w:rsidRPr="007C6590">
        <w:rPr>
          <w:rFonts w:hAnsi="Times New Roman" w:cs="Times New Roman"/>
        </w:rPr>
        <w:t xml:space="preserve"> and Figure S1.</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7482FD76" w:rsidR="00272763" w:rsidRDefault="00AF3EA1" w:rsidP="00272763">
      <w:r w:rsidRPr="00C072BC">
        <w:rPr>
          <w:b/>
        </w:rPr>
        <w:t>Figure S</w:t>
      </w:r>
      <w:r w:rsidR="00385630" w:rsidRPr="007C6590">
        <w:rPr>
          <w:b/>
        </w:rPr>
        <w:t>3</w:t>
      </w:r>
      <w:r w:rsidRPr="007C6590">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3022F">
        <w:rPr>
          <w:rFonts w:hAnsi="Times New Roman" w:cs="Times New Roman"/>
        </w:rPr>
        <w:t>1</w:t>
      </w:r>
      <w:r w:rsidR="007C05BD">
        <w:rPr>
          <w:rFonts w:hAnsi="Times New Roman" w:cs="Times New Roman"/>
        </w:rPr>
        <w:t>–</w:t>
      </w:r>
      <w:r w:rsidR="00EA6516">
        <w:rPr>
          <w:rFonts w:hAnsi="Times New Roman" w:cs="Times New Roman"/>
        </w:rPr>
        <w:t>S</w:t>
      </w:r>
      <w:r w:rsidR="00EA6516" w:rsidRPr="004206D0">
        <w:rPr>
          <w:rFonts w:hAnsi="Times New Roman" w:cs="Times New Roman"/>
        </w:rPr>
        <w:t>3</w:t>
      </w:r>
      <w:r w:rsidR="0024075E">
        <w:rPr>
          <w:rFonts w:hAnsi="Times New Roman" w:cs="Times New Roman"/>
        </w:rPr>
        <w:t xml:space="preserve"> and </w:t>
      </w:r>
      <w:r w:rsidR="0024075E" w:rsidRPr="007C6590">
        <w:rPr>
          <w:rFonts w:hAnsi="Times New Roman" w:cs="Times New Roman"/>
        </w:rPr>
        <w:t>Figur</w:t>
      </w:r>
      <w:r w:rsidR="007C05BD" w:rsidRPr="007C6590">
        <w:rPr>
          <w:rFonts w:hAnsi="Times New Roman" w:cs="Times New Roman"/>
        </w:rPr>
        <w:t xml:space="preserve">es </w:t>
      </w:r>
      <w:r w:rsidR="0024075E" w:rsidRPr="007C6590">
        <w:rPr>
          <w:rFonts w:hAnsi="Times New Roman" w:cs="Times New Roman"/>
        </w:rPr>
        <w:t>S1 and S2</w:t>
      </w:r>
      <w:r w:rsidR="00EA6516" w:rsidRPr="007C6590">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1D03BECD" w:rsidR="00E55333" w:rsidRDefault="00C22AC7" w:rsidP="008C5774">
      <w:r w:rsidRPr="00C22AC7">
        <w:rPr>
          <w:b/>
          <w:bCs/>
        </w:rPr>
        <w:t xml:space="preserve">Figure </w:t>
      </w:r>
      <w:r w:rsidRPr="007C6590">
        <w:rPr>
          <w:b/>
          <w:bCs/>
        </w:rPr>
        <w:t>S</w:t>
      </w:r>
      <w:r w:rsidR="00D33626" w:rsidRPr="007C6590">
        <w:rPr>
          <w:b/>
          <w:bCs/>
        </w:rPr>
        <w:t>4</w:t>
      </w:r>
      <w:r w:rsidRPr="007C6590">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A45D68">
        <w:rPr>
          <w:rFonts w:hAnsi="Times New Roman" w:cs="Times New Roman"/>
        </w:rPr>
        <w:t>–</w:t>
      </w:r>
      <w:r w:rsidR="000E5F4B">
        <w:rPr>
          <w:rFonts w:hAnsi="Times New Roman" w:cs="Times New Roman"/>
        </w:rPr>
        <w:t>S</w:t>
      </w:r>
      <w:r w:rsidR="000E5F4B" w:rsidRPr="003D6C29">
        <w:rPr>
          <w:rFonts w:hAnsi="Times New Roman" w:cs="Times New Roman"/>
        </w:rPr>
        <w:t>3</w:t>
      </w:r>
      <w:r w:rsidR="000E5F4B">
        <w:rPr>
          <w:rFonts w:hAnsi="Times New Roman" w:cs="Times New Roman"/>
        </w:rPr>
        <w:t xml:space="preserve"> </w:t>
      </w:r>
      <w:r w:rsidR="000E5F4B" w:rsidRPr="007C6590">
        <w:rPr>
          <w:rFonts w:hAnsi="Times New Roman" w:cs="Times New Roman"/>
        </w:rPr>
        <w:t>and Figures S1</w:t>
      </w:r>
      <w:r w:rsidR="008F453D" w:rsidRPr="007C6590">
        <w:rPr>
          <w:rFonts w:hAnsi="Times New Roman" w:cs="Times New Roman"/>
        </w:rPr>
        <w:t>–</w:t>
      </w:r>
      <w:r w:rsidR="000E5F4B" w:rsidRPr="007C6590">
        <w:rPr>
          <w:rFonts w:hAnsi="Times New Roman" w:cs="Times New Roman"/>
        </w:rPr>
        <w:t>S3.</w:t>
      </w:r>
      <w:r w:rsidR="008C5774">
        <w:br w:type="page"/>
      </w:r>
    </w:p>
    <w:p w14:paraId="355381F4" w14:textId="4EAFC657" w:rsidR="003E36B7" w:rsidRDefault="00E55333">
      <w:r>
        <w:rPr>
          <w:noProof/>
        </w:rPr>
        <w:lastRenderedPageBreak/>
        <w:drawing>
          <wp:inline distT="0" distB="0" distL="0" distR="0" wp14:anchorId="749B25D5" wp14:editId="3253CCE3">
            <wp:extent cx="5145000" cy="88199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5000" cy="8819999"/>
                    </a:xfrm>
                    <a:prstGeom prst="rect">
                      <a:avLst/>
                    </a:prstGeom>
                  </pic:spPr>
                </pic:pic>
              </a:graphicData>
            </a:graphic>
          </wp:inline>
        </w:drawing>
      </w:r>
      <w:r w:rsidR="003E36B7">
        <w:br w:type="page"/>
      </w:r>
    </w:p>
    <w:p w14:paraId="2977956B" w14:textId="071A5248" w:rsidR="00890018" w:rsidRDefault="00E55333">
      <w:r w:rsidRPr="00890018">
        <w:rPr>
          <w:b/>
        </w:rPr>
        <w:lastRenderedPageBreak/>
        <w:t xml:space="preserve">Figure </w:t>
      </w:r>
      <w:r w:rsidR="00B710B5">
        <w:rPr>
          <w:b/>
        </w:rPr>
        <w:t>QUZ</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(a,b) vascular plant species richness, (c,d) the major axis of environmental heterogeneity (PC1) from the PCA of nine forms of environmental heterogeneity (log</w:t>
      </w:r>
      <w:r w:rsidR="00C137F2" w:rsidRPr="00C9106C">
        <w:rPr>
          <w:vertAlign w:val="subscript"/>
        </w:rPr>
        <w:t>10</w:t>
      </w:r>
      <w:r w:rsidR="00C137F2">
        <w:t>-transformed), residuals from regressions of species richness against (</w:t>
      </w:r>
      <w:proofErr w:type="spellStart"/>
      <w:r w:rsidR="00C137F2">
        <w:t>e,f</w:t>
      </w:r>
      <w:proofErr w:type="spellEnd"/>
      <w:r w:rsidR="00C137F2">
        <w:t>) PC1 (</w:t>
      </w:r>
      <w:r w:rsidR="00A744F1">
        <w:t xml:space="preserve">Figure </w:t>
      </w:r>
      <w:r w:rsidR="00792C98">
        <w:t>4</w:t>
      </w:r>
      <w:r w:rsidR="00C137F2">
        <w:t>b) and (</w:t>
      </w:r>
      <w:proofErr w:type="spellStart"/>
      <w:r w:rsidR="00C137F2">
        <w:t>g,h</w:t>
      </w:r>
      <w:proofErr w:type="spellEnd"/>
      <w:r w:rsidR="00C137F2">
        <w:t>) the multivariate (MV) model (</w:t>
      </w:r>
      <w:r w:rsidR="005711DB">
        <w:t xml:space="preserve">Figure </w:t>
      </w:r>
      <w:r w:rsidR="000411BC">
        <w:t>5</w:t>
      </w:r>
      <w:r w:rsidR="00C137F2">
        <w:t>b). Map projection used: WG</w:t>
      </w:r>
      <w:r w:rsidR="00CD41CE">
        <w:t>S8</w:t>
      </w:r>
      <w:r w:rsidR="00C137F2">
        <w:t>4.</w:t>
      </w:r>
      <w:r w:rsidR="00890018">
        <w:br w:type="page"/>
      </w:r>
    </w:p>
    <w:p w14:paraId="311102D3" w14:textId="0AF5B61E" w:rsidR="003E36B7" w:rsidRDefault="00E55333">
      <w:r>
        <w:rPr>
          <w:noProof/>
        </w:rPr>
        <w:lastRenderedPageBreak/>
        <w:drawing>
          <wp:inline distT="0" distB="0" distL="0" distR="0" wp14:anchorId="2F7EE2EF" wp14:editId="50182B40">
            <wp:extent cx="5145000"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588FA9F6" w14:textId="535AA5F2" w:rsidR="00890018" w:rsidRDefault="00890018" w:rsidP="00890018">
      <w:r w:rsidRPr="00890018">
        <w:rPr>
          <w:b/>
        </w:rPr>
        <w:lastRenderedPageBreak/>
        <w:t xml:space="preserve">Figure </w:t>
      </w:r>
      <w:r w:rsidR="00B710B5">
        <w:rPr>
          <w:b/>
        </w:rPr>
        <w:t>XYZ</w:t>
      </w:r>
      <w:r w:rsidR="003234D6">
        <w:rPr>
          <w:b/>
        </w:rPr>
        <w:t xml:space="preserve"> (previous page)</w:t>
      </w:r>
      <w:r w:rsidRPr="00890018">
        <w:rPr>
          <w:b/>
        </w:rPr>
        <w:t xml:space="preserve">: </w:t>
      </w:r>
      <w:r w:rsidR="00ED3EE4">
        <w:t>DS-scale m</w:t>
      </w:r>
      <w:r w:rsidR="00ED3EE4" w:rsidRPr="00C9106C">
        <w:t>ap</w:t>
      </w:r>
      <w:r w:rsidR="00ED3EE4">
        <w:t>s for the GCFR and SWAFR of (a,b) vascular plant species richness, (c,d) the major axis of environmental heterogeneity (PC1) from the PCA of nine forms of environmental heterogeneity (log</w:t>
      </w:r>
      <w:r w:rsidR="00ED3EE4" w:rsidRPr="00C9106C">
        <w:rPr>
          <w:vertAlign w:val="subscript"/>
        </w:rPr>
        <w:t>10</w:t>
      </w:r>
      <w:r w:rsidR="00ED3EE4">
        <w:t>-transformed), residuals from regressions of species richness against (</w:t>
      </w:r>
      <w:proofErr w:type="spellStart"/>
      <w:r w:rsidR="00ED3EE4">
        <w:t>e,f</w:t>
      </w:r>
      <w:proofErr w:type="spellEnd"/>
      <w:r w:rsidR="00ED3EE4">
        <w:t>) PC1 (</w:t>
      </w:r>
      <w:r w:rsidR="00A744F1">
        <w:t xml:space="preserve">Figure </w:t>
      </w:r>
      <w:r w:rsidR="00792C98">
        <w:t>4</w:t>
      </w:r>
      <w:r w:rsidR="00ED3EE4">
        <w:t>b) and (</w:t>
      </w:r>
      <w:proofErr w:type="spellStart"/>
      <w:r w:rsidR="00ED3EE4">
        <w:t>g,h</w:t>
      </w:r>
      <w:proofErr w:type="spellEnd"/>
      <w:r w:rsidR="00ED3EE4">
        <w:t>) the multivariate (MV) model (</w:t>
      </w:r>
      <w:r w:rsidR="005711DB">
        <w:t xml:space="preserve">Figure </w:t>
      </w:r>
      <w:r w:rsidR="000411BC">
        <w:t>5</w:t>
      </w:r>
      <w:r w:rsidR="00ED3EE4">
        <w:t>b). Map projection used: WG</w:t>
      </w:r>
      <w:r w:rsidR="000967B1">
        <w:t>S8</w:t>
      </w:r>
      <w:r w:rsidR="00ED3EE4">
        <w:t>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66B94B36" w:rsidR="00FB5212" w:rsidRDefault="00314A7A" w:rsidP="00323C08">
      <w:r w:rsidRPr="00C072BC">
        <w:rPr>
          <w:b/>
        </w:rPr>
        <w:lastRenderedPageBreak/>
        <w:t xml:space="preserve">Figure </w:t>
      </w:r>
      <w:r w:rsidR="00FB5212" w:rsidRPr="00C072BC">
        <w:rPr>
          <w:b/>
        </w:rPr>
        <w:t>S</w:t>
      </w:r>
      <w:r w:rsidR="00A81A80" w:rsidRPr="00D4575C">
        <w:rPr>
          <w:b/>
          <w:highlight w:val="red"/>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r w:rsidR="008704A4" w:rsidRPr="006A6996">
        <w:t>i</w:t>
      </w:r>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756139">
        <w:t>1</w:t>
      </w:r>
      <w:r w:rsidR="003F2ABC">
        <w:t>).</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270CE5">
        <w:rPr>
          <w:rFonts w:hAnsi="Times New Roman" w:cs="Times New Roman"/>
        </w:rPr>
        <w:t>–</w:t>
      </w:r>
      <w:r w:rsidR="000E5F4B">
        <w:rPr>
          <w:rFonts w:hAnsi="Times New Roman" w:cs="Times New Roman"/>
        </w:rPr>
        <w:t>S</w:t>
      </w:r>
      <w:r w:rsidR="000E5F4B" w:rsidRPr="005E5B33">
        <w:rPr>
          <w:rFonts w:hAnsi="Times New Roman" w:cs="Times New Roman"/>
        </w:rPr>
        <w:t>3</w:t>
      </w:r>
      <w:r w:rsidR="000E5F4B">
        <w:rPr>
          <w:rFonts w:hAnsi="Times New Roman" w:cs="Times New Roman"/>
        </w:rPr>
        <w:t xml:space="preserve"> and </w:t>
      </w:r>
      <w:r w:rsidR="000E5F4B" w:rsidRPr="007C6590">
        <w:rPr>
          <w:rFonts w:hAnsi="Times New Roman" w:cs="Times New Roman"/>
        </w:rPr>
        <w:t>Figures S1</w:t>
      </w:r>
      <w:r w:rsidR="00270CE5" w:rsidRPr="007C6590">
        <w:rPr>
          <w:rFonts w:hAnsi="Times New Roman" w:cs="Times New Roman"/>
        </w:rPr>
        <w:t>–</w:t>
      </w:r>
      <w:r w:rsidR="000E5F4B" w:rsidRPr="007C6590">
        <w:rPr>
          <w:rFonts w:hAnsi="Times New Roman" w:cs="Times New Roman"/>
        </w:rPr>
        <w:t>S4.</w:t>
      </w:r>
      <w:r w:rsidR="00FB5212">
        <w:br w:type="page"/>
      </w:r>
    </w:p>
    <w:p w14:paraId="7C45D445" w14:textId="1824A671" w:rsidR="003E36B7" w:rsidRDefault="003F24C4">
      <w:r>
        <w:rPr>
          <w:noProof/>
        </w:rPr>
        <w:lastRenderedPageBreak/>
        <w:drawing>
          <wp:inline distT="0" distB="0" distL="0" distR="0" wp14:anchorId="27148C4F" wp14:editId="21C7CF20">
            <wp:extent cx="6173999" cy="882000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br w:type="page"/>
      </w:r>
    </w:p>
    <w:p w14:paraId="3C17C814" w14:textId="4C4FCEAD" w:rsidR="003F24C4" w:rsidRDefault="00F662DD" w:rsidP="003F24C4">
      <w:r w:rsidRPr="00C072BC">
        <w:rPr>
          <w:b/>
        </w:rPr>
        <w:lastRenderedPageBreak/>
        <w:t xml:space="preserve">Figure </w:t>
      </w:r>
      <w:r w:rsidR="008836CB">
        <w:rPr>
          <w:b/>
        </w:rPr>
        <w:t>S5</w:t>
      </w:r>
      <w:r w:rsidR="00541B9E">
        <w:rPr>
          <w:b/>
        </w:rPr>
        <w:t xml:space="preserve"> (previous page)</w:t>
      </w:r>
      <w:r w:rsidRPr="00C072BC">
        <w:rPr>
          <w:b/>
        </w:rPr>
        <w:t>:</w:t>
      </w:r>
      <w:r>
        <w:t xml:space="preserve"> </w:t>
      </w:r>
      <w:r w:rsidR="005F7252">
        <w:t>G</w:t>
      </w:r>
      <w:r w:rsidR="0071551D">
        <w:t>rid-cells identified as having outstanding</w:t>
      </w:r>
      <w:r w:rsidR="000215CA">
        <w:t xml:space="preserve"> vascular plant species richness</w:t>
      </w:r>
      <w:r w:rsidR="0071551D">
        <w:t xml:space="preserve"> (i.e. hotspots)</w:t>
      </w:r>
      <w:r w:rsidR="005F7252">
        <w:t xml:space="preserve"> across the GCFR and SWAFR,</w:t>
      </w:r>
      <w:r w:rsidR="0071551D">
        <w:t xml:space="preserve"> following univariate regressions (Table </w:t>
      </w:r>
      <w:r w:rsidR="0052570D">
        <w:t>1</w:t>
      </w:r>
      <w:r w:rsidR="0071551D">
        <w:t xml:space="preserve">, </w:t>
      </w:r>
      <w:r w:rsidR="00A744F1">
        <w:t xml:space="preserve">Figure </w:t>
      </w:r>
      <w:r w:rsidR="00792C98">
        <w:t>4</w:t>
      </w:r>
      <w:r w:rsidR="0071551D">
        <w:t>) against</w:t>
      </w:r>
      <w:r w:rsidR="000215CA">
        <w:t xml:space="preserve"> the major axis of environmental heterogeneity (PC1) from the PCA </w:t>
      </w:r>
      <w:r w:rsidR="0071551D">
        <w:t>(Figure S</w:t>
      </w:r>
      <w:r w:rsidR="0071551D" w:rsidRPr="00D4575C">
        <w:rPr>
          <w:highlight w:val="red"/>
        </w:rPr>
        <w:t>4</w:t>
      </w:r>
      <w:r w:rsidR="0071551D">
        <w:t>)</w:t>
      </w:r>
      <w:r w:rsidR="000215CA">
        <w:t xml:space="preserve">. </w:t>
      </w:r>
      <w:r w:rsidR="004B1013">
        <w:t>Hotspots were identified as those cells with residual</w:t>
      </w:r>
      <w:r w:rsidR="00B27417">
        <w:t xml:space="preserve"> richnes</w:t>
      </w:r>
      <w:r w:rsidR="004B1013">
        <w:t xml:space="preserve">s greater than two standard deviations from the mean for that model. </w:t>
      </w:r>
      <w:r w:rsidR="00936B8C">
        <w:t xml:space="preserve">No hotspots were found for the SWAFR at the DS-scale. </w:t>
      </w:r>
      <w:r w:rsidR="000215CA">
        <w:t>Map projection used: WG</w:t>
      </w:r>
      <w:r w:rsidR="008836CB">
        <w:t>S8</w:t>
      </w:r>
      <w:r w:rsidR="000215CA">
        <w:t>4.</w:t>
      </w:r>
      <w:r w:rsidR="003F24C4">
        <w:br w:type="page"/>
      </w:r>
    </w:p>
    <w:p w14:paraId="474E9B2E" w14:textId="3713C858" w:rsidR="003E36B7" w:rsidRDefault="003F24C4">
      <w:pPr>
        <w:rPr>
          <w:b/>
          <w:bCs/>
        </w:rPr>
      </w:pPr>
      <w:r>
        <w:rPr>
          <w:b/>
          <w:bCs/>
          <w:noProof/>
        </w:rPr>
        <w:lastRenderedPageBreak/>
        <w:drawing>
          <wp:inline distT="0" distB="0" distL="0" distR="0" wp14:anchorId="60468E32" wp14:editId="6969FAF5">
            <wp:extent cx="6173999" cy="882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sidR="003E36B7">
        <w:rPr>
          <w:b/>
          <w:bCs/>
        </w:rPr>
        <w:br w:type="page"/>
      </w:r>
    </w:p>
    <w:p w14:paraId="5E648677" w14:textId="1E8F7D3D" w:rsidR="00A946F1" w:rsidRDefault="003F24C4">
      <w:r w:rsidRPr="003F24C4">
        <w:rPr>
          <w:b/>
          <w:bCs/>
        </w:rPr>
        <w:lastRenderedPageBreak/>
        <w:t xml:space="preserve">Figure </w:t>
      </w:r>
      <w:r w:rsidR="009F1DA5">
        <w:rPr>
          <w:b/>
          <w:bCs/>
        </w:rPr>
        <w:t>BAR</w:t>
      </w:r>
      <w:r w:rsidR="00D2057A">
        <w:rPr>
          <w:b/>
          <w:bCs/>
        </w:rPr>
        <w:t xml:space="preserve"> (previous page)</w:t>
      </w:r>
      <w:r w:rsidRPr="003F24C4">
        <w:rPr>
          <w:b/>
          <w:bCs/>
        </w:rPr>
        <w:t>:</w:t>
      </w:r>
      <w:r w:rsidR="00607B6A">
        <w:t xml:space="preserve"> </w:t>
      </w:r>
      <w:r w:rsidR="00EB7BBC">
        <w:t>G</w:t>
      </w:r>
      <w:r w:rsidR="00607B6A">
        <w:t>rid-cells identified as having outstanding vascular plant species richness (i.e. hotspots)</w:t>
      </w:r>
      <w:r w:rsidR="005F7252">
        <w:t xml:space="preserve"> across the GCFR and SWAFR,</w:t>
      </w:r>
      <w:r w:rsidR="00607B6A">
        <w:t xml:space="preserve"> following multivariate regressions (Table </w:t>
      </w:r>
      <w:r w:rsidR="004E2F55">
        <w:t>S</w:t>
      </w:r>
      <w:r w:rsidR="00607B6A" w:rsidRPr="000F2DB7">
        <w:t>2</w:t>
      </w:r>
      <w:r w:rsidR="00607B6A">
        <w:t xml:space="preserve">, </w:t>
      </w:r>
      <w:r w:rsidR="005711DB">
        <w:t xml:space="preserve">Figure </w:t>
      </w:r>
      <w:r w:rsidR="000411BC">
        <w:t>5</w:t>
      </w:r>
      <w:r w:rsidR="00607B6A">
        <w:t xml:space="preserve">) against the </w:t>
      </w:r>
      <w:r w:rsidR="000E27E9">
        <w:t>nine</w:t>
      </w:r>
      <w:r w:rsidR="00607B6A">
        <w:t xml:space="preserve"> ax</w:t>
      </w:r>
      <w:r w:rsidR="000E27E9">
        <w:t>e</w:t>
      </w:r>
      <w:r w:rsidR="00607B6A">
        <w:t>s of environmental heterogeneity</w:t>
      </w:r>
      <w:r w:rsidR="000E27E9">
        <w:t xml:space="preserve">. </w:t>
      </w:r>
      <w:r w:rsidR="00607B6A">
        <w:t>Hotspots were identified as those cells with residual</w:t>
      </w:r>
      <w:r w:rsidR="000E27E9">
        <w:t xml:space="preserve"> richnes</w:t>
      </w:r>
      <w:r w:rsidR="00607B6A">
        <w:t xml:space="preserve">s greater than two standard deviations from the mean for that model. </w:t>
      </w:r>
      <w:r w:rsidR="00936B8C">
        <w:t xml:space="preserve">No hotspots were found for the SWAFR at the DS-scale. </w:t>
      </w:r>
      <w:r w:rsidR="00607B6A">
        <w:t>Map projection used: WG</w:t>
      </w:r>
      <w:r w:rsidR="00C54D26">
        <w:t>S8</w:t>
      </w:r>
      <w:r w:rsidR="00607B6A">
        <w:t>4.</w:t>
      </w:r>
      <w:r w:rsidR="00A946F1">
        <w:br w:type="page"/>
      </w:r>
    </w:p>
    <w:p w14:paraId="0DC9D98C" w14:textId="77777777" w:rsidR="00A946F1" w:rsidRPr="00A946F1" w:rsidRDefault="00A946F1" w:rsidP="00F662DD">
      <w:pPr>
        <w:rPr>
          <w:b/>
        </w:rPr>
      </w:pPr>
      <w:r>
        <w:rPr>
          <w:noProof/>
        </w:rPr>
        <w:lastRenderedPageBreak/>
        <w:drawing>
          <wp:inline distT="0" distB="0" distL="0" distR="0" wp14:anchorId="4D5ED499" wp14:editId="5860F94B">
            <wp:extent cx="6840000" cy="39088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6C63AF11" w14:textId="16ABBB0E" w:rsidR="006D735A" w:rsidRDefault="00A946F1" w:rsidP="00F662DD">
      <w:r w:rsidRPr="00A946F1">
        <w:rPr>
          <w:b/>
        </w:rPr>
        <w:t xml:space="preserve">Figure </w:t>
      </w:r>
      <w:r w:rsidR="00BD0A61">
        <w:rPr>
          <w:b/>
        </w:rPr>
        <w:t>QUX</w:t>
      </w:r>
      <w:r w:rsidRPr="00A946F1">
        <w:rPr>
          <w:b/>
        </w:rPr>
        <w:t>:</w:t>
      </w:r>
      <w:r w:rsidR="0099040F">
        <w:rPr>
          <w:b/>
        </w:rPr>
        <w:t xml:space="preserve"> </w:t>
      </w:r>
      <w:r w:rsidR="0099040F">
        <w:t>Slope estimates from multiple linear regressions of vascular plant species richness</w:t>
      </w:r>
      <w:r w:rsidR="000E5F4B">
        <w:t>, excluding species richness hotspots</w:t>
      </w:r>
      <w:r w:rsidR="00773E55">
        <w:t xml:space="preserve"> (defined in terms of their residuals from the </w:t>
      </w:r>
      <w:r w:rsidR="009C747B">
        <w:t>original multivariate regressions</w:t>
      </w:r>
      <w:r w:rsidR="00773E55">
        <w:t xml:space="preserve">; Figure </w:t>
      </w:r>
      <w:r w:rsidR="009F1DA5">
        <w:t>BAR</w:t>
      </w:r>
      <w:r w:rsidR="00773E55">
        <w:t>)</w:t>
      </w:r>
      <w:r w:rsidR="000E5F4B">
        <w:t>,</w:t>
      </w:r>
      <w:r w:rsidR="0099040F">
        <w:t xml:space="preserve"> as (a) </w:t>
      </w:r>
      <w:r w:rsidR="0099040F">
        <w:rPr>
          <w:i/>
        </w:rPr>
        <w:t>S</w:t>
      </w:r>
      <w:r w:rsidR="0099040F">
        <w:rPr>
          <w:vertAlign w:val="subscript"/>
        </w:rPr>
        <w:t>QDS</w:t>
      </w:r>
      <w:r w:rsidR="0099040F">
        <w:t xml:space="preserve">, (b) </w:t>
      </w:r>
      <w:r w:rsidR="0099040F">
        <w:rPr>
          <w:i/>
        </w:rPr>
        <w:t>S</w:t>
      </w:r>
      <w:r w:rsidR="0099040F">
        <w:rPr>
          <w:vertAlign w:val="subscript"/>
        </w:rPr>
        <w:t>HDS</w:t>
      </w:r>
      <w:r w:rsidR="0099040F">
        <w:t xml:space="preserve"> and (c) </w:t>
      </w:r>
      <w:r w:rsidR="0099040F">
        <w:rPr>
          <w:i/>
        </w:rPr>
        <w:t>S</w:t>
      </w:r>
      <w:r w:rsidR="0099040F">
        <w:rPr>
          <w:vertAlign w:val="subscript"/>
        </w:rPr>
        <w:t>DS</w:t>
      </w:r>
      <w:r w:rsidR="0099040F">
        <w:t xml:space="preserve"> against the various forms of environmental heterogeneity (log</w:t>
      </w:r>
      <w:r w:rsidR="0099040F">
        <w:rPr>
          <w:vertAlign w:val="subscript"/>
        </w:rPr>
        <w:t>10</w:t>
      </w:r>
      <w:r w:rsidR="0099040F">
        <w:t>-transformed and re-scaled) across GCFR and SWAFR. Points with error bars denote partial effect estimates and their 95% confidence intervals. Filled and empty points represent effect estimates  for the GCFR and SWAFR respectively when region-interaction terms were retained during stepwise model selection, while crosses represent main effects (i.e. no region-interaction term retained). Estimates illustrated in black were significant (</w:t>
      </w:r>
      <w:r w:rsidR="0099040F">
        <w:rPr>
          <w:i/>
        </w:rPr>
        <w:t>P</w:t>
      </w:r>
      <w:r w:rsidR="0099040F">
        <w:t xml:space="preserve"> &lt; 0.05), while those in grey were not, but still retained during stepwise model selection. The multiple adjusted </w:t>
      </w:r>
      <w:r w:rsidR="0099040F">
        <w:rPr>
          <w:i/>
        </w:rPr>
        <w:t>R</w:t>
      </w:r>
      <w:r w:rsidR="0099040F">
        <w:rPr>
          <w:vertAlign w:val="superscript"/>
        </w:rPr>
        <w:t>2</w:t>
      </w:r>
      <w:r w:rsidR="0099040F">
        <w:t xml:space="preserve">-values of each model are noted in parentheses in the panel headings. </w:t>
      </w:r>
      <w:r w:rsidR="0083472C">
        <w:rPr>
          <w:rFonts w:hAnsi="Times New Roman" w:cs="Times New Roman"/>
        </w:rPr>
        <w:t>Abbreviations follow that in Tables S</w:t>
      </w:r>
      <w:r w:rsidR="0083472C" w:rsidRPr="0073022F">
        <w:rPr>
          <w:rFonts w:hAnsi="Times New Roman" w:cs="Times New Roman"/>
        </w:rPr>
        <w:t>1</w:t>
      </w:r>
      <w:r w:rsidR="003212E6">
        <w:rPr>
          <w:rFonts w:hAnsi="Times New Roman" w:cs="Times New Roman"/>
        </w:rPr>
        <w:t>–</w:t>
      </w:r>
      <w:r w:rsidR="0083472C">
        <w:rPr>
          <w:rFonts w:hAnsi="Times New Roman" w:cs="Times New Roman"/>
        </w:rPr>
        <w:t>S</w:t>
      </w:r>
      <w:r w:rsidR="0083472C" w:rsidRPr="00CB36C5">
        <w:rPr>
          <w:rFonts w:hAnsi="Times New Roman" w:cs="Times New Roman"/>
        </w:rPr>
        <w:t>3</w:t>
      </w:r>
      <w:r w:rsidR="0083472C">
        <w:rPr>
          <w:rFonts w:hAnsi="Times New Roman" w:cs="Times New Roman"/>
        </w:rPr>
        <w:t xml:space="preserve"> and Figures </w:t>
      </w:r>
      <w:r w:rsidR="0083472C" w:rsidRPr="007C6590">
        <w:rPr>
          <w:rFonts w:hAnsi="Times New Roman" w:cs="Times New Roman"/>
        </w:rPr>
        <w:t>S1</w:t>
      </w:r>
      <w:r w:rsidR="003212E6" w:rsidRPr="007C6590">
        <w:rPr>
          <w:rFonts w:hAnsi="Times New Roman" w:cs="Times New Roman"/>
        </w:rPr>
        <w:t>–</w:t>
      </w:r>
      <w:r w:rsidR="0083472C" w:rsidRPr="007C6590">
        <w:rPr>
          <w:rFonts w:hAnsi="Times New Roman" w:cs="Times New Roman"/>
        </w:rPr>
        <w:t>S4</w:t>
      </w:r>
      <w:r w:rsidR="0083472C">
        <w:rPr>
          <w:rFonts w:hAnsi="Times New Roman" w:cs="Times New Roman"/>
        </w:rPr>
        <w:t xml:space="preserve"> and S</w:t>
      </w:r>
      <w:r w:rsidR="0083472C" w:rsidRPr="003212E6">
        <w:rPr>
          <w:rFonts w:hAnsi="Times New Roman" w:cs="Times New Roman"/>
          <w:highlight w:val="red"/>
        </w:rPr>
        <w:t>7</w:t>
      </w:r>
      <w:r w:rsidR="0099040F">
        <w:t>.</w:t>
      </w:r>
      <w:r w:rsidR="00F662DD">
        <w:br w:type="page"/>
      </w:r>
    </w:p>
    <w:p w14:paraId="70C0E26F" w14:textId="77777777" w:rsidR="006D735A" w:rsidRDefault="006D735A">
      <w:r>
        <w:rPr>
          <w:noProof/>
        </w:rPr>
        <w:lastRenderedPageBreak/>
        <w:drawing>
          <wp:inline distT="0" distB="0" distL="0" distR="0" wp14:anchorId="32B8D8B9" wp14:editId="7397AD79">
            <wp:extent cx="6840000" cy="256500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20201DF1" w14:textId="463D23C7" w:rsidR="006D735A" w:rsidRDefault="00892DC6">
      <w:r>
        <w:rPr>
          <w:b/>
        </w:rPr>
        <w:t>Figure BAZ</w:t>
      </w:r>
      <w:r w:rsidR="00317115" w:rsidRPr="00A946F1">
        <w:rPr>
          <w:b/>
        </w:rPr>
        <w:t>:</w:t>
      </w:r>
      <w:r w:rsidR="00317115">
        <w:rPr>
          <w:b/>
        </w:rPr>
        <w:t xml:space="preserve"> </w:t>
      </w:r>
      <w:r w:rsidR="00431B69">
        <w:t>Simple linear regressions of vascular plant species richness, excluding species richness hotspots</w:t>
      </w:r>
      <w:r w:rsidR="00773E55">
        <w:t xml:space="preserve"> (defined in terms of their residuals from the full PC1-based ANCOVAs; Figure </w:t>
      </w:r>
      <w:bookmarkStart w:id="1" w:name="_GoBack"/>
      <w:bookmarkEnd w:id="1"/>
      <w:r w:rsidR="004F21EB">
        <w:t>S5</w:t>
      </w:r>
      <w:r w:rsidR="00773E55">
        <w:t>)</w:t>
      </w:r>
      <w:r w:rsidR="00431B69">
        <w:t xml:space="preserve">, as (a) </w:t>
      </w:r>
      <w:r w:rsidR="00431B69">
        <w:rPr>
          <w:i/>
        </w:rPr>
        <w:t>S</w:t>
      </w:r>
      <w:r w:rsidR="00431B69">
        <w:rPr>
          <w:vertAlign w:val="subscript"/>
        </w:rPr>
        <w:t>QDS</w:t>
      </w:r>
      <w:r w:rsidR="00431B69">
        <w:t xml:space="preserve">, (b) </w:t>
      </w:r>
      <w:r w:rsidR="00431B69">
        <w:rPr>
          <w:i/>
        </w:rPr>
        <w:t>S</w:t>
      </w:r>
      <w:r w:rsidR="00431B69">
        <w:rPr>
          <w:vertAlign w:val="subscript"/>
        </w:rPr>
        <w:t>HDS</w:t>
      </w:r>
      <w:r w:rsidR="00431B69">
        <w:t xml:space="preserve"> and (c) </w:t>
      </w:r>
      <w:r w:rsidR="00431B69">
        <w:rPr>
          <w:i/>
        </w:rPr>
        <w:t>S</w:t>
      </w:r>
      <w:r w:rsidR="00431B69">
        <w:rPr>
          <w:vertAlign w:val="subscript"/>
        </w:rPr>
        <w:t>DS</w:t>
      </w:r>
      <w:r w:rsidR="00431B69">
        <w:t xml:space="preserve"> against each respective scale</w:t>
      </w:r>
      <w:r w:rsidR="00431B69">
        <w:t>’</w:t>
      </w:r>
      <w:r w:rsidR="00431B69">
        <w:t>s major axis of environmental heterogeneity (PC1) across the GCFR and SWAFR. These three linear models all have highly significant slopes (</w:t>
      </w:r>
      <w:r w:rsidR="00431B69">
        <w:rPr>
          <w:i/>
        </w:rPr>
        <w:t>P</w:t>
      </w:r>
      <w:r w:rsidR="00431B69">
        <w:t xml:space="preserve"> &lt; 0.001). </w:t>
      </w:r>
      <w:r w:rsidR="00431B69" w:rsidRPr="00431B69">
        <w:rPr>
          <w:highlight w:val="red"/>
        </w:rPr>
        <w:t xml:space="preserve">For </w:t>
      </w:r>
      <w:r w:rsidR="00431B69" w:rsidRPr="00431B69">
        <w:rPr>
          <w:i/>
          <w:iCs/>
          <w:highlight w:val="red"/>
        </w:rPr>
        <w:t>S</w:t>
      </w:r>
      <w:r w:rsidR="00431B69" w:rsidRPr="00431B69">
        <w:rPr>
          <w:highlight w:val="red"/>
          <w:vertAlign w:val="subscript"/>
        </w:rPr>
        <w:t>QDS</w:t>
      </w:r>
      <w:r w:rsidR="00431B69" w:rsidRPr="00431B69">
        <w:rPr>
          <w:highlight w:val="red"/>
        </w:rPr>
        <w:t xml:space="preserve">, the separate fits for the GCFR (black) and SWAFR (grey) are presented, following the best fitting model at that scale </w:t>
      </w:r>
      <w:r w:rsidR="00431B69" w:rsidRPr="00FF0442">
        <w:rPr>
          <w:highlight w:val="yellow"/>
        </w:rPr>
        <w:t xml:space="preserve">(see Table </w:t>
      </w:r>
      <w:r w:rsidR="008F7ABA" w:rsidRPr="008F7ABA">
        <w:rPr>
          <w:highlight w:val="yellow"/>
        </w:rPr>
        <w:t>1</w:t>
      </w:r>
      <w:r w:rsidR="00431B69" w:rsidRPr="00FF0442">
        <w:rPr>
          <w:highlight w:val="yellow"/>
        </w:rPr>
        <w:t>a).</w:t>
      </w:r>
      <w:r w:rsidR="00431B69">
        <w:t xml:space="preserve"> The </w:t>
      </w:r>
      <w:r w:rsidR="00431B69">
        <w:rPr>
          <w:i/>
        </w:rPr>
        <w:t>R</w:t>
      </w:r>
      <w:r w:rsidR="00431B69">
        <w:rPr>
          <w:vertAlign w:val="superscript"/>
        </w:rPr>
        <w:t>2</w:t>
      </w:r>
      <w:r w:rsidR="00431B69">
        <w:t xml:space="preserve">-values of each model and the variation in environmental heterogeneity explained by PC1 from each of the three PCAs are noted in parentheses in the panel and horizontal axis headings respectively. </w:t>
      </w:r>
      <w:r w:rsidR="00810556" w:rsidRPr="008F1E1A">
        <w:rPr>
          <w:highlight w:val="yellow"/>
        </w:rPr>
        <w:t>[note QDS and HDS have additive models as best fitting]</w:t>
      </w:r>
      <w:r w:rsidR="006D735A">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3"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Farr, T., Rosen, P., Caro, E., Crippen, R., Duren, R., Hensley, S., Kobrick, M., Paller, M., Rodriguez, E., Roth, L., Seal, D., Shaffer, S., Shimada, J., Umland, J., Werner, M., Oskin, M., Burbank, D., &amp; Alsdorf,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Funk, C.C., Peterson, P.J., Landsfeld, M., Pedreros, D.H., Verdin, J., Shukla, S., Husak, G., Rowland, J.D., Harrison, L., Hoell, A., &amp; Michaelsen,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r w:rsidRPr="002C20EB">
        <w:t xml:space="preserve">Hengl, T., Mendes de Jesus, J., Heuvelink, G.B.M., Ruiperez Gonzalez, M., Kilibarda, M., Blagoti?, A., Shangguan, W., Wright, M.N., Geng, X., Bauer-Marschallinger, B., Guevara, M.A., Vargas, R., MacMillan, R.A., Batjes, N.H., Leenaars, J.G.B., Ribeiro, E., Wheeler, I., Mantel, S., &amp; Kempen, B. (2017) SoilGrids250m: Global gridded soil information based on machine learning. </w:t>
      </w:r>
      <w:r w:rsidRPr="002C20EB">
        <w:rPr>
          <w:i/>
        </w:rPr>
        <w:t>PLoS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l3 global 0.05Deg cmg</w:t>
      </w:r>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l3 global 0.05Deg cmg</w:t>
      </w:r>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B3633C">
      <w:footerReference w:type="default" r:id="rId26"/>
      <w:pgSz w:w="12240" w:h="15840" w:code="1"/>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71B851" w14:textId="77777777" w:rsidR="00E071B9" w:rsidRDefault="00E071B9">
      <w:pPr>
        <w:spacing w:after="0"/>
      </w:pPr>
      <w:r>
        <w:separator/>
      </w:r>
    </w:p>
  </w:endnote>
  <w:endnote w:type="continuationSeparator" w:id="0">
    <w:p w14:paraId="7D29AF55" w14:textId="77777777" w:rsidR="00E071B9" w:rsidRDefault="00E071B9">
      <w:pPr>
        <w:spacing w:after="0"/>
      </w:pPr>
      <w:r>
        <w:continuationSeparator/>
      </w:r>
    </w:p>
  </w:endnote>
  <w:endnote w:type="continuationNotice" w:id="1">
    <w:p w14:paraId="5F0F4DDC" w14:textId="77777777" w:rsidR="00E071B9" w:rsidRDefault="00E071B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773E55" w:rsidRDefault="00773E55">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773E55" w:rsidRDefault="0077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36AA08" w14:textId="77777777" w:rsidR="00E071B9" w:rsidRDefault="00E071B9">
      <w:r>
        <w:separator/>
      </w:r>
    </w:p>
  </w:footnote>
  <w:footnote w:type="continuationSeparator" w:id="0">
    <w:p w14:paraId="339F7EEE" w14:textId="77777777" w:rsidR="00E071B9" w:rsidRDefault="00E071B9">
      <w:r>
        <w:continuationSeparator/>
      </w:r>
    </w:p>
  </w:footnote>
  <w:footnote w:type="continuationNotice" w:id="1">
    <w:p w14:paraId="761525BC" w14:textId="77777777" w:rsidR="00E071B9" w:rsidRDefault="00E071B9">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22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1BC"/>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4FCE"/>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67B1"/>
    <w:rsid w:val="0009756C"/>
    <w:rsid w:val="000A2014"/>
    <w:rsid w:val="000A2EAE"/>
    <w:rsid w:val="000A3255"/>
    <w:rsid w:val="000A44BE"/>
    <w:rsid w:val="000A737C"/>
    <w:rsid w:val="000A7820"/>
    <w:rsid w:val="000A7C66"/>
    <w:rsid w:val="000B1C91"/>
    <w:rsid w:val="000B2398"/>
    <w:rsid w:val="000B25D7"/>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5F4B"/>
    <w:rsid w:val="000E72CC"/>
    <w:rsid w:val="000E7EAD"/>
    <w:rsid w:val="000F24B3"/>
    <w:rsid w:val="000F2560"/>
    <w:rsid w:val="000F2DB7"/>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41A"/>
    <w:rsid w:val="00251ECF"/>
    <w:rsid w:val="00252DA8"/>
    <w:rsid w:val="002536E4"/>
    <w:rsid w:val="00253F7E"/>
    <w:rsid w:val="00254F18"/>
    <w:rsid w:val="002565DD"/>
    <w:rsid w:val="002566BD"/>
    <w:rsid w:val="00256F0B"/>
    <w:rsid w:val="00257896"/>
    <w:rsid w:val="002604CE"/>
    <w:rsid w:val="00261A54"/>
    <w:rsid w:val="002624D4"/>
    <w:rsid w:val="002626CC"/>
    <w:rsid w:val="00262EF2"/>
    <w:rsid w:val="00262F02"/>
    <w:rsid w:val="002644D2"/>
    <w:rsid w:val="002658EC"/>
    <w:rsid w:val="00265947"/>
    <w:rsid w:val="00267348"/>
    <w:rsid w:val="00270A25"/>
    <w:rsid w:val="00270B4B"/>
    <w:rsid w:val="00270CE5"/>
    <w:rsid w:val="002711B7"/>
    <w:rsid w:val="00271377"/>
    <w:rsid w:val="002723BD"/>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115"/>
    <w:rsid w:val="00317DAF"/>
    <w:rsid w:val="003209CF"/>
    <w:rsid w:val="003212E6"/>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BFA"/>
    <w:rsid w:val="00355D02"/>
    <w:rsid w:val="003562E3"/>
    <w:rsid w:val="003563D1"/>
    <w:rsid w:val="00357472"/>
    <w:rsid w:val="003601A9"/>
    <w:rsid w:val="00360716"/>
    <w:rsid w:val="00361152"/>
    <w:rsid w:val="003617CF"/>
    <w:rsid w:val="00361EEF"/>
    <w:rsid w:val="00363038"/>
    <w:rsid w:val="00364BDA"/>
    <w:rsid w:val="00364F0A"/>
    <w:rsid w:val="0036753D"/>
    <w:rsid w:val="0036760E"/>
    <w:rsid w:val="00367CC6"/>
    <w:rsid w:val="00367F8D"/>
    <w:rsid w:val="00371EA1"/>
    <w:rsid w:val="00372023"/>
    <w:rsid w:val="00372BDA"/>
    <w:rsid w:val="00374287"/>
    <w:rsid w:val="0037447E"/>
    <w:rsid w:val="003745E1"/>
    <w:rsid w:val="00375621"/>
    <w:rsid w:val="00376DAD"/>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15E"/>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C29"/>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6D0"/>
    <w:rsid w:val="0042088C"/>
    <w:rsid w:val="00421309"/>
    <w:rsid w:val="004218EE"/>
    <w:rsid w:val="00422E7C"/>
    <w:rsid w:val="00422FC1"/>
    <w:rsid w:val="00426D59"/>
    <w:rsid w:val="00426DD1"/>
    <w:rsid w:val="00427A07"/>
    <w:rsid w:val="004307E2"/>
    <w:rsid w:val="004318FF"/>
    <w:rsid w:val="00431B69"/>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C4F"/>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1EB"/>
    <w:rsid w:val="004F2596"/>
    <w:rsid w:val="004F2692"/>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570D"/>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3162"/>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11DB"/>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28B7"/>
    <w:rsid w:val="005D307E"/>
    <w:rsid w:val="005D31A4"/>
    <w:rsid w:val="005D33A7"/>
    <w:rsid w:val="005D3EDD"/>
    <w:rsid w:val="005D4530"/>
    <w:rsid w:val="005D59E8"/>
    <w:rsid w:val="005E135C"/>
    <w:rsid w:val="005E15C9"/>
    <w:rsid w:val="005E19A4"/>
    <w:rsid w:val="005E220D"/>
    <w:rsid w:val="005E31B9"/>
    <w:rsid w:val="005E331E"/>
    <w:rsid w:val="005E3871"/>
    <w:rsid w:val="005E5B33"/>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4DC8"/>
    <w:rsid w:val="006A55D2"/>
    <w:rsid w:val="006A5D5E"/>
    <w:rsid w:val="006A68DF"/>
    <w:rsid w:val="006A6996"/>
    <w:rsid w:val="006A69D9"/>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22F"/>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4DD9"/>
    <w:rsid w:val="00745B62"/>
    <w:rsid w:val="00746253"/>
    <w:rsid w:val="0074652D"/>
    <w:rsid w:val="00746C1C"/>
    <w:rsid w:val="00750477"/>
    <w:rsid w:val="00750943"/>
    <w:rsid w:val="007535ED"/>
    <w:rsid w:val="00753A5E"/>
    <w:rsid w:val="00754A29"/>
    <w:rsid w:val="00755A02"/>
    <w:rsid w:val="00756139"/>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3E55"/>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2C98"/>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5BD"/>
    <w:rsid w:val="007C06EE"/>
    <w:rsid w:val="007C0E34"/>
    <w:rsid w:val="007C1274"/>
    <w:rsid w:val="007C16D2"/>
    <w:rsid w:val="007C1C6F"/>
    <w:rsid w:val="007C308D"/>
    <w:rsid w:val="007C5406"/>
    <w:rsid w:val="007C5AFE"/>
    <w:rsid w:val="007C6590"/>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72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36CB"/>
    <w:rsid w:val="008841AF"/>
    <w:rsid w:val="00884304"/>
    <w:rsid w:val="00884827"/>
    <w:rsid w:val="00885AB7"/>
    <w:rsid w:val="00886BD9"/>
    <w:rsid w:val="00887059"/>
    <w:rsid w:val="00890018"/>
    <w:rsid w:val="00891FE6"/>
    <w:rsid w:val="00892B00"/>
    <w:rsid w:val="00892B5B"/>
    <w:rsid w:val="00892DC6"/>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168"/>
    <w:rsid w:val="008B33E1"/>
    <w:rsid w:val="008B3F0E"/>
    <w:rsid w:val="008B4347"/>
    <w:rsid w:val="008B445A"/>
    <w:rsid w:val="008B4C50"/>
    <w:rsid w:val="008B4DBD"/>
    <w:rsid w:val="008B5685"/>
    <w:rsid w:val="008B688E"/>
    <w:rsid w:val="008B6F00"/>
    <w:rsid w:val="008B78C4"/>
    <w:rsid w:val="008C1638"/>
    <w:rsid w:val="008C1C71"/>
    <w:rsid w:val="008C33E4"/>
    <w:rsid w:val="008C36CE"/>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1A"/>
    <w:rsid w:val="008F1E4D"/>
    <w:rsid w:val="008F228D"/>
    <w:rsid w:val="008F2AFD"/>
    <w:rsid w:val="008F386A"/>
    <w:rsid w:val="008F400E"/>
    <w:rsid w:val="008F453D"/>
    <w:rsid w:val="008F4F5B"/>
    <w:rsid w:val="008F6104"/>
    <w:rsid w:val="008F6F3A"/>
    <w:rsid w:val="008F78EE"/>
    <w:rsid w:val="008F7ABA"/>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0595"/>
    <w:rsid w:val="00930A9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18C9"/>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0F01"/>
    <w:rsid w:val="00981480"/>
    <w:rsid w:val="00982A0A"/>
    <w:rsid w:val="00983D13"/>
    <w:rsid w:val="0098402A"/>
    <w:rsid w:val="0098402B"/>
    <w:rsid w:val="009841C7"/>
    <w:rsid w:val="00985FA7"/>
    <w:rsid w:val="00986266"/>
    <w:rsid w:val="00986D63"/>
    <w:rsid w:val="00987906"/>
    <w:rsid w:val="0099040F"/>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C747B"/>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1DA5"/>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5D68"/>
    <w:rsid w:val="00A46153"/>
    <w:rsid w:val="00A46338"/>
    <w:rsid w:val="00A465FD"/>
    <w:rsid w:val="00A46A8E"/>
    <w:rsid w:val="00A46B1F"/>
    <w:rsid w:val="00A46D13"/>
    <w:rsid w:val="00A46DC3"/>
    <w:rsid w:val="00A478A3"/>
    <w:rsid w:val="00A51BF2"/>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4F1"/>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5DE9"/>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08F"/>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33C"/>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0B5"/>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A00"/>
    <w:rsid w:val="00B91EB3"/>
    <w:rsid w:val="00B9270C"/>
    <w:rsid w:val="00B92C82"/>
    <w:rsid w:val="00B930DF"/>
    <w:rsid w:val="00B9362B"/>
    <w:rsid w:val="00B94618"/>
    <w:rsid w:val="00B9531E"/>
    <w:rsid w:val="00B959A6"/>
    <w:rsid w:val="00B96198"/>
    <w:rsid w:val="00B96FA0"/>
    <w:rsid w:val="00B96FB8"/>
    <w:rsid w:val="00B97570"/>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0A61"/>
    <w:rsid w:val="00BD24C1"/>
    <w:rsid w:val="00BD4895"/>
    <w:rsid w:val="00BD5C4F"/>
    <w:rsid w:val="00BD72CC"/>
    <w:rsid w:val="00BD7A0C"/>
    <w:rsid w:val="00BD7BCB"/>
    <w:rsid w:val="00BE042E"/>
    <w:rsid w:val="00BE18DF"/>
    <w:rsid w:val="00BE1C44"/>
    <w:rsid w:val="00BE2326"/>
    <w:rsid w:val="00BE374A"/>
    <w:rsid w:val="00BE3A41"/>
    <w:rsid w:val="00BE42FC"/>
    <w:rsid w:val="00BE5001"/>
    <w:rsid w:val="00BE7107"/>
    <w:rsid w:val="00BE79AD"/>
    <w:rsid w:val="00BE7B31"/>
    <w:rsid w:val="00BE7B44"/>
    <w:rsid w:val="00BE7C13"/>
    <w:rsid w:val="00BE7DDB"/>
    <w:rsid w:val="00BF0B3F"/>
    <w:rsid w:val="00BF1ADA"/>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50BB"/>
    <w:rsid w:val="00C26903"/>
    <w:rsid w:val="00C2694A"/>
    <w:rsid w:val="00C2751C"/>
    <w:rsid w:val="00C27DBB"/>
    <w:rsid w:val="00C3047A"/>
    <w:rsid w:val="00C30EFE"/>
    <w:rsid w:val="00C32B1C"/>
    <w:rsid w:val="00C32B62"/>
    <w:rsid w:val="00C35419"/>
    <w:rsid w:val="00C360F0"/>
    <w:rsid w:val="00C36279"/>
    <w:rsid w:val="00C3715D"/>
    <w:rsid w:val="00C37A80"/>
    <w:rsid w:val="00C4040C"/>
    <w:rsid w:val="00C40608"/>
    <w:rsid w:val="00C408A8"/>
    <w:rsid w:val="00C415F8"/>
    <w:rsid w:val="00C41696"/>
    <w:rsid w:val="00C41A61"/>
    <w:rsid w:val="00C41F13"/>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4D26"/>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022"/>
    <w:rsid w:val="00CA03AC"/>
    <w:rsid w:val="00CA0D48"/>
    <w:rsid w:val="00CA0ECD"/>
    <w:rsid w:val="00CA131C"/>
    <w:rsid w:val="00CA2A08"/>
    <w:rsid w:val="00CA485B"/>
    <w:rsid w:val="00CA4D38"/>
    <w:rsid w:val="00CA4E84"/>
    <w:rsid w:val="00CA5BE6"/>
    <w:rsid w:val="00CA688A"/>
    <w:rsid w:val="00CA7709"/>
    <w:rsid w:val="00CB0067"/>
    <w:rsid w:val="00CB06B0"/>
    <w:rsid w:val="00CB28CA"/>
    <w:rsid w:val="00CB36C5"/>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1CE"/>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575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2DB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1B9"/>
    <w:rsid w:val="00E07FF6"/>
    <w:rsid w:val="00E10344"/>
    <w:rsid w:val="00E103F8"/>
    <w:rsid w:val="00E1050B"/>
    <w:rsid w:val="00E10680"/>
    <w:rsid w:val="00E10AA8"/>
    <w:rsid w:val="00E1186D"/>
    <w:rsid w:val="00E125D6"/>
    <w:rsid w:val="00E129BB"/>
    <w:rsid w:val="00E12A1A"/>
    <w:rsid w:val="00E1361B"/>
    <w:rsid w:val="00E13F42"/>
    <w:rsid w:val="00E169D5"/>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5E9B"/>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74D"/>
    <w:rsid w:val="00F32D40"/>
    <w:rsid w:val="00F330A8"/>
    <w:rsid w:val="00F33CEC"/>
    <w:rsid w:val="00F34371"/>
    <w:rsid w:val="00F3440B"/>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97858"/>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0442"/>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72D9B-5F32-274F-A900-FA3EBBE57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TotalTime>
  <Pages>21</Pages>
  <Words>2170</Words>
  <Characters>12371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14512</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370</cp:revision>
  <cp:lastPrinted>2019-11-19T13:01:00Z</cp:lastPrinted>
  <dcterms:created xsi:type="dcterms:W3CDTF">2019-12-03T09:32:00Z</dcterms:created>
  <dcterms:modified xsi:type="dcterms:W3CDTF">2020-01-10T11:49:00Z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